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968" w:rsidRPr="00EA3968" w:rsidRDefault="00EA3968" w:rsidP="00EA3968">
      <w:pPr>
        <w:spacing w:before="100" w:beforeAutospacing="1" w:after="100" w:afterAutospacing="1" w:line="360" w:lineRule="atLeast"/>
        <w:outlineLvl w:val="4"/>
        <w:rPr>
          <w:rFonts w:ascii="Verdana" w:eastAsia="Times New Roman" w:hAnsi="Verdana" w:cs="Times New Roman"/>
          <w:b/>
          <w:bCs/>
          <w:color w:val="8AA7E6"/>
          <w:sz w:val="21"/>
          <w:szCs w:val="21"/>
          <w:lang w:eastAsia="es-ES"/>
        </w:rPr>
      </w:pPr>
      <w:bookmarkStart w:id="0" w:name="references"/>
      <w:bookmarkEnd w:id="0"/>
      <w:r w:rsidRPr="00EA3968">
        <w:rPr>
          <w:rFonts w:ascii="Verdana" w:eastAsia="Times New Roman" w:hAnsi="Verdana" w:cs="Times New Roman"/>
          <w:b/>
          <w:bCs/>
          <w:color w:val="8AA7E6"/>
          <w:sz w:val="21"/>
          <w:szCs w:val="21"/>
          <w:lang w:eastAsia="es-ES"/>
        </w:rPr>
        <w:t>ACTO</w:t>
      </w:r>
    </w:p>
    <w:p w:rsidR="00EA3968" w:rsidRPr="00EA3968" w:rsidRDefault="00EA3968" w:rsidP="00EA3968">
      <w:pPr>
        <w:spacing w:before="100" w:beforeAutospacing="1" w:after="100" w:afterAutospacing="1" w:line="360" w:lineRule="atLeast"/>
        <w:rPr>
          <w:rFonts w:ascii="Verdana" w:eastAsia="Times New Roman" w:hAnsi="Verdana" w:cs="Times New Roman"/>
          <w:b/>
          <w:bCs/>
          <w:color w:val="333333"/>
          <w:sz w:val="19"/>
          <w:szCs w:val="19"/>
          <w:lang w:eastAsia="es-ES"/>
        </w:rPr>
      </w:pPr>
      <w:r w:rsidRPr="00EA3968">
        <w:rPr>
          <w:rFonts w:ascii="Verdana" w:eastAsia="Times New Roman" w:hAnsi="Verdana" w:cs="Times New Roman"/>
          <w:b/>
          <w:bCs/>
          <w:color w:val="333333"/>
          <w:sz w:val="19"/>
          <w:szCs w:val="19"/>
          <w:lang w:eastAsia="es-ES"/>
        </w:rPr>
        <w:t>Comunicación de la Comisión al Parlamento Europeo y al Consejo, de 29 de junio de 2006, sobre la formación judicial en la Unión Europea [</w:t>
      </w:r>
      <w:hyperlink r:id="rId5" w:tgtFrame="_blank" w:tooltip="texto íntegro del acta" w:history="1">
        <w:r w:rsidRPr="00EA3968">
          <w:rPr>
            <w:rFonts w:ascii="Verdana" w:eastAsia="Times New Roman" w:hAnsi="Verdana" w:cs="Times New Roman"/>
            <w:b/>
            <w:bCs/>
            <w:color w:val="003399"/>
            <w:sz w:val="19"/>
            <w:u w:val="single"/>
            <w:lang w:eastAsia="es-ES"/>
          </w:rPr>
          <w:t>COM (2006) 356</w:t>
        </w:r>
      </w:hyperlink>
      <w:r w:rsidRPr="00EA3968">
        <w:rPr>
          <w:rFonts w:ascii="Verdana" w:eastAsia="Times New Roman" w:hAnsi="Verdana" w:cs="Times New Roman"/>
          <w:b/>
          <w:bCs/>
          <w:color w:val="333333"/>
          <w:sz w:val="19"/>
          <w:szCs w:val="19"/>
          <w:lang w:eastAsia="es-ES"/>
        </w:rPr>
        <w:t xml:space="preserve"> final - no publicada en el Diario Oficial].</w:t>
      </w:r>
    </w:p>
    <w:p w:rsidR="00EA3968" w:rsidRPr="00EA3968" w:rsidRDefault="00EA3968" w:rsidP="00EA3968">
      <w:pPr>
        <w:spacing w:before="100" w:beforeAutospacing="1" w:after="100" w:afterAutospacing="1" w:line="360" w:lineRule="atLeast"/>
        <w:outlineLvl w:val="4"/>
        <w:rPr>
          <w:rFonts w:ascii="Verdana" w:eastAsia="Times New Roman" w:hAnsi="Verdana" w:cs="Times New Roman"/>
          <w:b/>
          <w:bCs/>
          <w:color w:val="8AA7E6"/>
          <w:sz w:val="21"/>
          <w:szCs w:val="21"/>
          <w:lang w:eastAsia="es-ES"/>
        </w:rPr>
      </w:pPr>
      <w:bookmarkStart w:id="1" w:name="summary"/>
      <w:bookmarkEnd w:id="1"/>
      <w:r w:rsidRPr="00EA3968">
        <w:rPr>
          <w:rFonts w:ascii="Verdana" w:eastAsia="Times New Roman" w:hAnsi="Verdana" w:cs="Times New Roman"/>
          <w:b/>
          <w:bCs/>
          <w:color w:val="8AA7E6"/>
          <w:sz w:val="21"/>
          <w:szCs w:val="21"/>
          <w:lang w:eastAsia="es-ES"/>
        </w:rPr>
        <w:t>SÍNTESIS</w:t>
      </w:r>
    </w:p>
    <w:p w:rsidR="00EA3968" w:rsidRPr="00EA3968" w:rsidRDefault="00EA3968" w:rsidP="00EC521E">
      <w:pPr>
        <w:spacing w:before="100" w:beforeAutospacing="1" w:after="100" w:afterAutospacing="1" w:line="360" w:lineRule="atLeast"/>
        <w:jc w:val="both"/>
        <w:rPr>
          <w:rFonts w:ascii="Verdana" w:eastAsia="Times New Roman" w:hAnsi="Verdana" w:cs="Times New Roman"/>
          <w:color w:val="333333"/>
          <w:sz w:val="19"/>
          <w:szCs w:val="19"/>
          <w:lang w:eastAsia="es-ES"/>
        </w:rPr>
      </w:pPr>
      <w:r w:rsidRPr="00EA3968">
        <w:rPr>
          <w:rFonts w:ascii="Verdana" w:eastAsia="Times New Roman" w:hAnsi="Verdana" w:cs="Times New Roman"/>
          <w:color w:val="333333"/>
          <w:sz w:val="19"/>
          <w:szCs w:val="19"/>
          <w:lang w:eastAsia="es-ES"/>
        </w:rPr>
        <w:t>Ante la evolución de la Unión Europea (UE) hacia un espacio de libertad, seguridad y justicia, la Comisión Europea considera que es crucial que los profesionales de la justicia de los Estados miembros adquieran una cultura judicial europea común. Con el fin de alcanzar este objetivo, los Estados miembros deberán familiarizarse con sus sistemas recíprocos, aprender sus lenguas mutuas y acostumbrarse a trabajar en el marco de una asociación transnacional y un reconocimiento mutuo, con el fin de promover la cooperación entre las autoridades judiciales.</w:t>
      </w:r>
    </w:p>
    <w:p w:rsidR="00EA3968" w:rsidRPr="00EA3968" w:rsidRDefault="00EA3968" w:rsidP="00EC521E">
      <w:pPr>
        <w:spacing w:before="100" w:beforeAutospacing="1" w:after="100" w:afterAutospacing="1" w:line="360" w:lineRule="atLeast"/>
        <w:jc w:val="both"/>
        <w:rPr>
          <w:rFonts w:ascii="Verdana" w:eastAsia="Times New Roman" w:hAnsi="Verdana" w:cs="Times New Roman"/>
          <w:color w:val="333333"/>
          <w:sz w:val="19"/>
          <w:szCs w:val="19"/>
          <w:lang w:eastAsia="es-ES"/>
        </w:rPr>
      </w:pPr>
      <w:r w:rsidRPr="00EA3968">
        <w:rPr>
          <w:rFonts w:ascii="Verdana" w:eastAsia="Times New Roman" w:hAnsi="Verdana" w:cs="Times New Roman"/>
          <w:b/>
          <w:bCs/>
          <w:color w:val="333333"/>
          <w:sz w:val="19"/>
          <w:lang w:eastAsia="es-ES"/>
        </w:rPr>
        <w:t>Diversidad de la formación judicial entre los Estados miembros</w:t>
      </w:r>
      <w:r w:rsidRPr="00EA3968">
        <w:rPr>
          <w:rFonts w:ascii="Verdana" w:eastAsia="Times New Roman" w:hAnsi="Verdana" w:cs="Times New Roman"/>
          <w:color w:val="333333"/>
          <w:sz w:val="19"/>
          <w:szCs w:val="19"/>
          <w:lang w:eastAsia="es-ES"/>
        </w:rPr>
        <w:t xml:space="preserve"> </w:t>
      </w:r>
    </w:p>
    <w:p w:rsidR="00EA3968" w:rsidRPr="00EA3968" w:rsidRDefault="00EA3968" w:rsidP="00EC521E">
      <w:pPr>
        <w:spacing w:before="100" w:beforeAutospacing="1" w:after="100" w:afterAutospacing="1" w:line="360" w:lineRule="atLeast"/>
        <w:jc w:val="both"/>
        <w:rPr>
          <w:rFonts w:ascii="Verdana" w:eastAsia="Times New Roman" w:hAnsi="Verdana" w:cs="Times New Roman"/>
          <w:color w:val="333333"/>
          <w:sz w:val="19"/>
          <w:szCs w:val="19"/>
          <w:lang w:eastAsia="es-ES"/>
        </w:rPr>
      </w:pPr>
      <w:r w:rsidRPr="00EA3968">
        <w:rPr>
          <w:rFonts w:ascii="Verdana" w:eastAsia="Times New Roman" w:hAnsi="Verdana" w:cs="Times New Roman"/>
          <w:color w:val="333333"/>
          <w:sz w:val="19"/>
          <w:szCs w:val="19"/>
          <w:lang w:eastAsia="es-ES"/>
        </w:rPr>
        <w:t>Los sistemas de formación judicial están muy relacionados con la organización judicial de los Estados miembros y muestran una gran diversidad en cuanto a sus mecanismos de selección de jueces, fiscales y abogados:</w:t>
      </w:r>
    </w:p>
    <w:p w:rsidR="00EA3968" w:rsidRPr="00EA3968" w:rsidRDefault="00EA3968" w:rsidP="00EC521E">
      <w:pPr>
        <w:numPr>
          <w:ilvl w:val="0"/>
          <w:numId w:val="1"/>
        </w:numPr>
        <w:spacing w:after="0" w:line="360" w:lineRule="atLeast"/>
        <w:ind w:left="1658"/>
        <w:jc w:val="both"/>
        <w:rPr>
          <w:rFonts w:ascii="Verdana" w:eastAsia="Times New Roman" w:hAnsi="Verdana" w:cs="Times New Roman"/>
          <w:color w:val="333333"/>
          <w:sz w:val="19"/>
          <w:szCs w:val="19"/>
          <w:lang w:eastAsia="es-ES"/>
        </w:rPr>
      </w:pPr>
      <w:r w:rsidRPr="00EA3968">
        <w:rPr>
          <w:rFonts w:ascii="Verdana" w:eastAsia="Times New Roman" w:hAnsi="Verdana" w:cs="Times New Roman"/>
          <w:color w:val="333333"/>
          <w:sz w:val="19"/>
          <w:szCs w:val="19"/>
          <w:lang w:eastAsia="es-ES"/>
        </w:rPr>
        <w:t>en lo que respecta a los jueces, y a veces a los fiscales, el nivel de la formación inicial es más o menos alto según hayan sido seleccionados después de la universidad o tras varios años de experiencia profesional; la formación continua varía según los Estados miembros;</w:t>
      </w:r>
    </w:p>
    <w:p w:rsidR="00EA3968" w:rsidRPr="00EA3968" w:rsidRDefault="00EA3968" w:rsidP="00EC521E">
      <w:pPr>
        <w:numPr>
          <w:ilvl w:val="0"/>
          <w:numId w:val="1"/>
        </w:numPr>
        <w:spacing w:after="0" w:line="360" w:lineRule="atLeast"/>
        <w:ind w:left="1658"/>
        <w:jc w:val="both"/>
        <w:rPr>
          <w:rFonts w:ascii="Verdana" w:eastAsia="Times New Roman" w:hAnsi="Verdana" w:cs="Times New Roman"/>
          <w:color w:val="333333"/>
          <w:sz w:val="19"/>
          <w:szCs w:val="19"/>
          <w:lang w:eastAsia="es-ES"/>
        </w:rPr>
      </w:pPr>
      <w:r w:rsidRPr="00EA3968">
        <w:rPr>
          <w:rFonts w:ascii="Verdana" w:eastAsia="Times New Roman" w:hAnsi="Verdana" w:cs="Times New Roman"/>
          <w:color w:val="333333"/>
          <w:sz w:val="19"/>
          <w:szCs w:val="19"/>
          <w:lang w:eastAsia="es-ES"/>
        </w:rPr>
        <w:t>las diferencias entre cuerpos profesionales únicos y diferenciados: algunos Estados miembros tienen una institución competente única de formación de jueces y fiscales, mientras que otros Estados optan por la diferenciación. En lo que respecta a los abogados, la formación suele depender directamente de los Colegios de abogados, que en algunos casos están en relación con las universidades;</w:t>
      </w:r>
    </w:p>
    <w:p w:rsidR="00EA3968" w:rsidRPr="00EA3968" w:rsidRDefault="00EA3968" w:rsidP="00EC521E">
      <w:pPr>
        <w:numPr>
          <w:ilvl w:val="0"/>
          <w:numId w:val="1"/>
        </w:numPr>
        <w:spacing w:after="0" w:line="360" w:lineRule="atLeast"/>
        <w:ind w:left="1658"/>
        <w:jc w:val="both"/>
        <w:rPr>
          <w:rFonts w:ascii="Verdana" w:eastAsia="Times New Roman" w:hAnsi="Verdana" w:cs="Times New Roman"/>
          <w:color w:val="333333"/>
          <w:sz w:val="19"/>
          <w:szCs w:val="19"/>
          <w:lang w:eastAsia="es-ES"/>
        </w:rPr>
      </w:pPr>
      <w:r w:rsidRPr="00EA3968">
        <w:rPr>
          <w:rFonts w:ascii="Verdana" w:eastAsia="Times New Roman" w:hAnsi="Verdana" w:cs="Times New Roman"/>
          <w:color w:val="333333"/>
          <w:sz w:val="19"/>
          <w:szCs w:val="19"/>
          <w:lang w:eastAsia="es-ES"/>
        </w:rPr>
        <w:t>la duración de la formación y su tipo de financiación según la especialidad escogida varía entre los Estados miembros.</w:t>
      </w:r>
    </w:p>
    <w:p w:rsidR="00EA3968" w:rsidRPr="00EA3968" w:rsidRDefault="00EA3968" w:rsidP="00EC521E">
      <w:pPr>
        <w:spacing w:before="100" w:beforeAutospacing="1" w:after="100" w:afterAutospacing="1" w:line="360" w:lineRule="atLeast"/>
        <w:jc w:val="both"/>
        <w:rPr>
          <w:rFonts w:ascii="Verdana" w:eastAsia="Times New Roman" w:hAnsi="Verdana" w:cs="Times New Roman"/>
          <w:color w:val="333333"/>
          <w:sz w:val="19"/>
          <w:szCs w:val="19"/>
          <w:lang w:eastAsia="es-ES"/>
        </w:rPr>
      </w:pPr>
      <w:r w:rsidRPr="00EA3968">
        <w:rPr>
          <w:rFonts w:ascii="Verdana" w:eastAsia="Times New Roman" w:hAnsi="Verdana" w:cs="Times New Roman"/>
          <w:color w:val="333333"/>
          <w:sz w:val="19"/>
          <w:szCs w:val="19"/>
          <w:lang w:eastAsia="es-ES"/>
        </w:rPr>
        <w:t>También es posible implicar a otros tipos de jurisdicciones especializadas (administrativas o militares) en el proceso.</w:t>
      </w:r>
    </w:p>
    <w:p w:rsidR="00EA3968" w:rsidRPr="00EA3968" w:rsidRDefault="00EA3968" w:rsidP="00EC521E">
      <w:pPr>
        <w:spacing w:before="100" w:beforeAutospacing="1" w:after="100" w:afterAutospacing="1" w:line="360" w:lineRule="atLeast"/>
        <w:jc w:val="both"/>
        <w:rPr>
          <w:rFonts w:ascii="Verdana" w:eastAsia="Times New Roman" w:hAnsi="Verdana" w:cs="Times New Roman"/>
          <w:color w:val="333333"/>
          <w:sz w:val="19"/>
          <w:szCs w:val="19"/>
          <w:lang w:eastAsia="es-ES"/>
        </w:rPr>
      </w:pPr>
      <w:r w:rsidRPr="00EA3968">
        <w:rPr>
          <w:rFonts w:ascii="Verdana" w:eastAsia="Times New Roman" w:hAnsi="Verdana" w:cs="Times New Roman"/>
          <w:color w:val="333333"/>
          <w:sz w:val="19"/>
          <w:szCs w:val="19"/>
          <w:lang w:eastAsia="es-ES"/>
        </w:rPr>
        <w:t xml:space="preserve">La Unión Europea no debe interferir en la organización de los sistemas nacionales de formación. No obstante, el refuerzo del espacio judicial europeo supone la misma </w:t>
      </w:r>
      <w:r w:rsidRPr="00EA3968">
        <w:rPr>
          <w:rFonts w:ascii="Verdana" w:eastAsia="Times New Roman" w:hAnsi="Verdana" w:cs="Times New Roman"/>
          <w:color w:val="333333"/>
          <w:sz w:val="19"/>
          <w:szCs w:val="19"/>
          <w:lang w:eastAsia="es-ES"/>
        </w:rPr>
        <w:lastRenderedPageBreak/>
        <w:t>calidad de formación. Por otra parte, la financiación europea sólo debería utilizarse como complemento de la financiación nacional.</w:t>
      </w:r>
    </w:p>
    <w:p w:rsidR="00EA3968" w:rsidRPr="00EA3968" w:rsidRDefault="00EA3968" w:rsidP="00EC521E">
      <w:pPr>
        <w:spacing w:before="100" w:beforeAutospacing="1" w:after="100" w:afterAutospacing="1" w:line="360" w:lineRule="atLeast"/>
        <w:jc w:val="both"/>
        <w:rPr>
          <w:rFonts w:ascii="Verdana" w:eastAsia="Times New Roman" w:hAnsi="Verdana" w:cs="Times New Roman"/>
          <w:color w:val="333333"/>
          <w:sz w:val="19"/>
          <w:szCs w:val="19"/>
          <w:lang w:eastAsia="es-ES"/>
        </w:rPr>
      </w:pPr>
      <w:r w:rsidRPr="00EA3968">
        <w:rPr>
          <w:rFonts w:ascii="Verdana" w:eastAsia="Times New Roman" w:hAnsi="Verdana" w:cs="Times New Roman"/>
          <w:b/>
          <w:bCs/>
          <w:color w:val="333333"/>
          <w:sz w:val="19"/>
          <w:lang w:eastAsia="es-ES"/>
        </w:rPr>
        <w:t>Los aspectos europeos de la formación judicial</w:t>
      </w:r>
      <w:r w:rsidRPr="00EA3968">
        <w:rPr>
          <w:rFonts w:ascii="Verdana" w:eastAsia="Times New Roman" w:hAnsi="Verdana" w:cs="Times New Roman"/>
          <w:color w:val="333333"/>
          <w:sz w:val="19"/>
          <w:szCs w:val="19"/>
          <w:lang w:eastAsia="es-ES"/>
        </w:rPr>
        <w:t xml:space="preserve"> </w:t>
      </w:r>
    </w:p>
    <w:p w:rsidR="00EA3968" w:rsidRPr="00EA3968" w:rsidRDefault="00EA3968" w:rsidP="00EC521E">
      <w:pPr>
        <w:spacing w:before="100" w:beforeAutospacing="1" w:after="100" w:afterAutospacing="1" w:line="360" w:lineRule="atLeast"/>
        <w:jc w:val="both"/>
        <w:rPr>
          <w:rFonts w:ascii="Verdana" w:eastAsia="Times New Roman" w:hAnsi="Verdana" w:cs="Times New Roman"/>
          <w:color w:val="333333"/>
          <w:sz w:val="19"/>
          <w:szCs w:val="19"/>
          <w:lang w:eastAsia="es-ES"/>
        </w:rPr>
      </w:pPr>
      <w:r w:rsidRPr="00EA3968">
        <w:rPr>
          <w:rFonts w:ascii="Verdana" w:eastAsia="Times New Roman" w:hAnsi="Verdana" w:cs="Times New Roman"/>
          <w:color w:val="333333"/>
          <w:sz w:val="19"/>
          <w:szCs w:val="19"/>
          <w:lang w:eastAsia="es-ES"/>
        </w:rPr>
        <w:t xml:space="preserve">La UE trabaja desde más de quince años en la creación de una </w:t>
      </w:r>
      <w:hyperlink r:id="rId6" w:history="1">
        <w:r w:rsidRPr="00EA3968">
          <w:rPr>
            <w:rFonts w:ascii="Verdana" w:eastAsia="Times New Roman" w:hAnsi="Verdana" w:cs="Times New Roman"/>
            <w:color w:val="003399"/>
            <w:sz w:val="19"/>
            <w:u w:val="single"/>
            <w:lang w:eastAsia="es-ES"/>
          </w:rPr>
          <w:t>Red europea de formación judicial (REFJ)</w:t>
        </w:r>
      </w:hyperlink>
      <w:r w:rsidRPr="00EA3968">
        <w:rPr>
          <w:rFonts w:ascii="Verdana" w:eastAsia="Times New Roman" w:hAnsi="Verdana" w:cs="Times New Roman"/>
          <w:color w:val="333333"/>
          <w:sz w:val="19"/>
          <w:szCs w:val="19"/>
          <w:lang w:eastAsia="es-ES"/>
        </w:rPr>
        <w:t xml:space="preserve"> de la que depende el desarrollo de una cultura judicial común. Con iniciativas como </w:t>
      </w:r>
      <w:hyperlink r:id="rId7" w:history="1">
        <w:proofErr w:type="spellStart"/>
        <w:r w:rsidRPr="00EA3968">
          <w:rPr>
            <w:rFonts w:ascii="Verdana" w:eastAsia="Times New Roman" w:hAnsi="Verdana" w:cs="Times New Roman"/>
            <w:color w:val="003399"/>
            <w:sz w:val="19"/>
            <w:u w:val="single"/>
            <w:lang w:eastAsia="es-ES"/>
          </w:rPr>
          <w:t>Grotius</w:t>
        </w:r>
        <w:proofErr w:type="spellEnd"/>
      </w:hyperlink>
      <w:r w:rsidRPr="00EA3968">
        <w:rPr>
          <w:rFonts w:ascii="Verdana" w:eastAsia="Times New Roman" w:hAnsi="Verdana" w:cs="Times New Roman"/>
          <w:color w:val="333333"/>
          <w:sz w:val="19"/>
          <w:szCs w:val="19"/>
          <w:lang w:eastAsia="es-ES"/>
        </w:rPr>
        <w:t xml:space="preserve"> y la creación del programa marco «Derechos fundamentales y justicia» (2007-2013), la Unión intenta reforzar y orientar mejor los medios consagrados a la formación judicial en el espacio europeo.</w:t>
      </w:r>
    </w:p>
    <w:p w:rsidR="00EA3968" w:rsidRPr="00EA3968" w:rsidRDefault="00EA3968" w:rsidP="00EC521E">
      <w:pPr>
        <w:spacing w:before="100" w:beforeAutospacing="1" w:after="100" w:afterAutospacing="1" w:line="360" w:lineRule="atLeast"/>
        <w:jc w:val="both"/>
        <w:rPr>
          <w:rFonts w:ascii="Verdana" w:eastAsia="Times New Roman" w:hAnsi="Verdana" w:cs="Times New Roman"/>
          <w:color w:val="333333"/>
          <w:sz w:val="19"/>
          <w:szCs w:val="19"/>
          <w:lang w:eastAsia="es-ES"/>
        </w:rPr>
      </w:pPr>
      <w:r w:rsidRPr="00EA3968">
        <w:rPr>
          <w:rFonts w:ascii="Verdana" w:eastAsia="Times New Roman" w:hAnsi="Verdana" w:cs="Times New Roman"/>
          <w:color w:val="333333"/>
          <w:sz w:val="19"/>
          <w:szCs w:val="19"/>
          <w:lang w:eastAsia="es-ES"/>
        </w:rPr>
        <w:t xml:space="preserve">Además de estos instrumentos financieros, los mecanismos de ayuda a la cooperación tales como la </w:t>
      </w:r>
      <w:hyperlink r:id="rId8" w:history="1">
        <w:r w:rsidRPr="00EA3968">
          <w:rPr>
            <w:rFonts w:ascii="Verdana" w:eastAsia="Times New Roman" w:hAnsi="Verdana" w:cs="Times New Roman"/>
            <w:color w:val="003399"/>
            <w:sz w:val="19"/>
            <w:u w:val="single"/>
            <w:lang w:eastAsia="es-ES"/>
          </w:rPr>
          <w:t>red judicial civil</w:t>
        </w:r>
      </w:hyperlink>
      <w:r w:rsidRPr="00EA3968">
        <w:rPr>
          <w:rFonts w:ascii="Verdana" w:eastAsia="Times New Roman" w:hAnsi="Verdana" w:cs="Times New Roman"/>
          <w:color w:val="333333"/>
          <w:sz w:val="19"/>
          <w:szCs w:val="19"/>
          <w:lang w:eastAsia="es-ES"/>
        </w:rPr>
        <w:t xml:space="preserve">, </w:t>
      </w:r>
      <w:hyperlink r:id="rId9" w:history="1">
        <w:proofErr w:type="spellStart"/>
        <w:r w:rsidRPr="00EA3968">
          <w:rPr>
            <w:rFonts w:ascii="Verdana" w:eastAsia="Times New Roman" w:hAnsi="Verdana" w:cs="Times New Roman"/>
            <w:color w:val="003399"/>
            <w:sz w:val="19"/>
            <w:u w:val="single"/>
            <w:lang w:eastAsia="es-ES"/>
          </w:rPr>
          <w:t>Eurojust</w:t>
        </w:r>
        <w:proofErr w:type="spellEnd"/>
      </w:hyperlink>
      <w:r w:rsidRPr="00EA3968">
        <w:rPr>
          <w:rFonts w:ascii="Verdana" w:eastAsia="Times New Roman" w:hAnsi="Verdana" w:cs="Times New Roman"/>
          <w:color w:val="333333"/>
          <w:sz w:val="19"/>
          <w:szCs w:val="19"/>
          <w:lang w:eastAsia="es-ES"/>
        </w:rPr>
        <w:t xml:space="preserve"> o la </w:t>
      </w:r>
      <w:hyperlink r:id="rId10" w:history="1">
        <w:r w:rsidRPr="00EA3968">
          <w:rPr>
            <w:rFonts w:ascii="Verdana" w:eastAsia="Times New Roman" w:hAnsi="Verdana" w:cs="Times New Roman"/>
            <w:color w:val="003399"/>
            <w:sz w:val="19"/>
            <w:u w:val="single"/>
            <w:lang w:eastAsia="es-ES"/>
          </w:rPr>
          <w:t>red judicial penal</w:t>
        </w:r>
      </w:hyperlink>
      <w:r w:rsidRPr="00EA3968">
        <w:rPr>
          <w:rFonts w:ascii="Verdana" w:eastAsia="Times New Roman" w:hAnsi="Verdana" w:cs="Times New Roman"/>
          <w:color w:val="333333"/>
          <w:sz w:val="19"/>
          <w:szCs w:val="19"/>
          <w:lang w:eastAsia="es-ES"/>
        </w:rPr>
        <w:t xml:space="preserve"> desempeñan un papel importante en materia de información.</w:t>
      </w:r>
    </w:p>
    <w:p w:rsidR="00EA3968" w:rsidRPr="00EA3968" w:rsidRDefault="00EA3968" w:rsidP="00EC521E">
      <w:pPr>
        <w:spacing w:before="100" w:beforeAutospacing="1" w:after="100" w:afterAutospacing="1" w:line="360" w:lineRule="atLeast"/>
        <w:jc w:val="both"/>
        <w:rPr>
          <w:rFonts w:ascii="Verdana" w:eastAsia="Times New Roman" w:hAnsi="Verdana" w:cs="Times New Roman"/>
          <w:color w:val="333333"/>
          <w:sz w:val="19"/>
          <w:szCs w:val="19"/>
          <w:lang w:eastAsia="es-ES"/>
        </w:rPr>
      </w:pPr>
      <w:r w:rsidRPr="00EA3968">
        <w:rPr>
          <w:rFonts w:ascii="Verdana" w:eastAsia="Times New Roman" w:hAnsi="Verdana" w:cs="Times New Roman"/>
          <w:color w:val="333333"/>
          <w:sz w:val="19"/>
          <w:szCs w:val="19"/>
          <w:lang w:eastAsia="es-ES"/>
        </w:rPr>
        <w:t>Por otra parte, existen numerosas instituciones de alcance europeo que organizan regularmente actividades de formación para los profesionales de la justicia, como el Instituto Europeo de Administración Pública (IEAP) (</w:t>
      </w:r>
      <w:hyperlink r:id="rId11" w:tooltip="EN" w:history="1">
        <w:r w:rsidRPr="00EA3968">
          <w:rPr>
            <w:rFonts w:ascii="Verdana" w:eastAsia="Times New Roman" w:hAnsi="Verdana" w:cs="Times New Roman"/>
            <w:color w:val="003399"/>
            <w:sz w:val="19"/>
            <w:u w:val="single"/>
            <w:lang w:eastAsia="es-ES"/>
          </w:rPr>
          <w:t>EN</w:t>
        </w:r>
      </w:hyperlink>
      <w:r w:rsidRPr="00EA3968">
        <w:rPr>
          <w:rFonts w:ascii="Verdana" w:eastAsia="Times New Roman" w:hAnsi="Verdana" w:cs="Times New Roman"/>
          <w:color w:val="333333"/>
          <w:sz w:val="19"/>
          <w:szCs w:val="19"/>
          <w:lang w:eastAsia="es-ES"/>
        </w:rPr>
        <w:t xml:space="preserve">) de Maastricht, el Centro europeo de la magistratura y las profesiones jurídicas, o el </w:t>
      </w:r>
      <w:proofErr w:type="spellStart"/>
      <w:r w:rsidRPr="00EA3968">
        <w:rPr>
          <w:rFonts w:ascii="Verdana" w:eastAsia="Times New Roman" w:hAnsi="Verdana" w:cs="Times New Roman"/>
          <w:color w:val="333333"/>
          <w:sz w:val="19"/>
          <w:szCs w:val="19"/>
          <w:lang w:eastAsia="es-ES"/>
        </w:rPr>
        <w:t>Europaïsche</w:t>
      </w:r>
      <w:proofErr w:type="spellEnd"/>
      <w:r w:rsidRPr="00EA3968">
        <w:rPr>
          <w:rFonts w:ascii="Verdana" w:eastAsia="Times New Roman" w:hAnsi="Verdana" w:cs="Times New Roman"/>
          <w:color w:val="333333"/>
          <w:sz w:val="19"/>
          <w:szCs w:val="19"/>
          <w:lang w:eastAsia="es-ES"/>
        </w:rPr>
        <w:t xml:space="preserve"> </w:t>
      </w:r>
      <w:proofErr w:type="spellStart"/>
      <w:r w:rsidRPr="00EA3968">
        <w:rPr>
          <w:rFonts w:ascii="Verdana" w:eastAsia="Times New Roman" w:hAnsi="Verdana" w:cs="Times New Roman"/>
          <w:color w:val="333333"/>
          <w:sz w:val="19"/>
          <w:szCs w:val="19"/>
          <w:lang w:eastAsia="es-ES"/>
        </w:rPr>
        <w:t>Rechtacadémie</w:t>
      </w:r>
      <w:proofErr w:type="spellEnd"/>
      <w:r w:rsidRPr="00EA3968">
        <w:rPr>
          <w:rFonts w:ascii="Verdana" w:eastAsia="Times New Roman" w:hAnsi="Verdana" w:cs="Times New Roman"/>
          <w:color w:val="333333"/>
          <w:sz w:val="19"/>
          <w:szCs w:val="19"/>
          <w:lang w:eastAsia="es-ES"/>
        </w:rPr>
        <w:t xml:space="preserve"> de Tréveris.</w:t>
      </w:r>
    </w:p>
    <w:p w:rsidR="00EA3968" w:rsidRPr="00EA3968" w:rsidRDefault="00EA3968" w:rsidP="00EC521E">
      <w:pPr>
        <w:spacing w:before="100" w:beforeAutospacing="1" w:after="100" w:afterAutospacing="1" w:line="360" w:lineRule="atLeast"/>
        <w:jc w:val="both"/>
        <w:rPr>
          <w:rFonts w:ascii="Verdana" w:eastAsia="Times New Roman" w:hAnsi="Verdana" w:cs="Times New Roman"/>
          <w:color w:val="333333"/>
          <w:sz w:val="19"/>
          <w:szCs w:val="19"/>
          <w:lang w:eastAsia="es-ES"/>
        </w:rPr>
      </w:pPr>
      <w:r w:rsidRPr="00EA3968">
        <w:rPr>
          <w:rFonts w:ascii="Verdana" w:eastAsia="Times New Roman" w:hAnsi="Verdana" w:cs="Times New Roman"/>
          <w:color w:val="333333"/>
          <w:sz w:val="19"/>
          <w:szCs w:val="19"/>
          <w:lang w:eastAsia="es-ES"/>
        </w:rPr>
        <w:t>La REFJ, creada en 2000, tiene por objetivo promover un programa de formación judicial de dimensión europea. Este valioso instrumento de desarrollo de la formación judicial y de coordinación de la acción de las diferentes estructuras nacionales sobre el Derecho de la Unión ha recibido subvenciones de funcionamiento del presupuesto de la Unión en 2003 y 2005. A partir de 2007, la Comisión le concede una subvención de funcionamiento anual en el marco del programa marco «Derechos fundamentales y justicia» (</w:t>
      </w:r>
      <w:hyperlink r:id="rId12" w:history="1">
        <w:r w:rsidRPr="00EA3968">
          <w:rPr>
            <w:rFonts w:ascii="Verdana" w:eastAsia="Times New Roman" w:hAnsi="Verdana" w:cs="Times New Roman"/>
            <w:color w:val="003399"/>
            <w:sz w:val="19"/>
            <w:u w:val="single"/>
            <w:lang w:eastAsia="es-ES"/>
          </w:rPr>
          <w:t>programa específico «Justicia penal»</w:t>
        </w:r>
      </w:hyperlink>
      <w:r w:rsidRPr="00EA3968">
        <w:rPr>
          <w:rFonts w:ascii="Verdana" w:eastAsia="Times New Roman" w:hAnsi="Verdana" w:cs="Times New Roman"/>
          <w:color w:val="333333"/>
          <w:sz w:val="19"/>
          <w:szCs w:val="19"/>
          <w:lang w:eastAsia="es-ES"/>
        </w:rPr>
        <w:t>).</w:t>
      </w:r>
    </w:p>
    <w:p w:rsidR="00EA3968" w:rsidRPr="00EA3968" w:rsidRDefault="00EA3968" w:rsidP="00EC521E">
      <w:pPr>
        <w:spacing w:before="100" w:beforeAutospacing="1" w:after="100" w:afterAutospacing="1" w:line="360" w:lineRule="atLeast"/>
        <w:jc w:val="both"/>
        <w:rPr>
          <w:rFonts w:ascii="Verdana" w:eastAsia="Times New Roman" w:hAnsi="Verdana" w:cs="Times New Roman"/>
          <w:color w:val="333333"/>
          <w:sz w:val="19"/>
          <w:szCs w:val="19"/>
          <w:lang w:eastAsia="es-ES"/>
        </w:rPr>
      </w:pPr>
      <w:r w:rsidRPr="00EA3968">
        <w:rPr>
          <w:rFonts w:ascii="Verdana" w:eastAsia="Times New Roman" w:hAnsi="Verdana" w:cs="Times New Roman"/>
          <w:b/>
          <w:bCs/>
          <w:color w:val="333333"/>
          <w:sz w:val="19"/>
          <w:lang w:eastAsia="es-ES"/>
        </w:rPr>
        <w:t>Necesidades y objetivos de la formación judicial europea</w:t>
      </w:r>
      <w:r w:rsidRPr="00EA3968">
        <w:rPr>
          <w:rFonts w:ascii="Verdana" w:eastAsia="Times New Roman" w:hAnsi="Verdana" w:cs="Times New Roman"/>
          <w:color w:val="333333"/>
          <w:sz w:val="19"/>
          <w:szCs w:val="19"/>
          <w:lang w:eastAsia="es-ES"/>
        </w:rPr>
        <w:t xml:space="preserve"> </w:t>
      </w:r>
    </w:p>
    <w:p w:rsidR="00EA3968" w:rsidRPr="00EA3968" w:rsidRDefault="00EA3968" w:rsidP="00EC521E">
      <w:pPr>
        <w:spacing w:before="100" w:beforeAutospacing="1" w:after="100" w:afterAutospacing="1" w:line="360" w:lineRule="atLeast"/>
        <w:jc w:val="both"/>
        <w:rPr>
          <w:rFonts w:ascii="Verdana" w:eastAsia="Times New Roman" w:hAnsi="Verdana" w:cs="Times New Roman"/>
          <w:color w:val="333333"/>
          <w:sz w:val="19"/>
          <w:szCs w:val="19"/>
          <w:lang w:eastAsia="es-ES"/>
        </w:rPr>
      </w:pPr>
      <w:r w:rsidRPr="00EA3968">
        <w:rPr>
          <w:rFonts w:ascii="Verdana" w:eastAsia="Times New Roman" w:hAnsi="Verdana" w:cs="Times New Roman"/>
          <w:color w:val="333333"/>
          <w:sz w:val="19"/>
          <w:szCs w:val="19"/>
          <w:lang w:eastAsia="es-ES"/>
        </w:rPr>
        <w:t>La organización de la formación judicial es ante todo una responsabilidad de los Estados miembros, que deben integrar plenamente la dimensión europea en sus actividades nacionales. La Comunicación indica claramente que la responsabilidad de concebir y aplicar las actividades de formación incumbe principalmente a los Estados miembros, a la vista de las especificidades de cada cultura judicial. Sin embargo, la UE tiene trabajo que realizar en este ámbito. La Comisión ha identificado, así, dos capítulos prioritarios:</w:t>
      </w:r>
    </w:p>
    <w:p w:rsidR="00EA3968" w:rsidRPr="00EA3968" w:rsidRDefault="00EA3968" w:rsidP="00EC521E">
      <w:pPr>
        <w:numPr>
          <w:ilvl w:val="0"/>
          <w:numId w:val="2"/>
        </w:numPr>
        <w:spacing w:after="0" w:line="360" w:lineRule="atLeast"/>
        <w:ind w:left="1658"/>
        <w:jc w:val="both"/>
        <w:rPr>
          <w:rFonts w:ascii="Verdana" w:eastAsia="Times New Roman" w:hAnsi="Verdana" w:cs="Times New Roman"/>
          <w:color w:val="333333"/>
          <w:sz w:val="19"/>
          <w:szCs w:val="19"/>
          <w:lang w:eastAsia="es-ES"/>
        </w:rPr>
      </w:pPr>
      <w:r w:rsidRPr="00EA3968">
        <w:rPr>
          <w:rFonts w:ascii="Verdana" w:eastAsia="Times New Roman" w:hAnsi="Verdana" w:cs="Times New Roman"/>
          <w:color w:val="333333"/>
          <w:sz w:val="19"/>
          <w:szCs w:val="19"/>
          <w:lang w:eastAsia="es-ES"/>
        </w:rPr>
        <w:t>la correcta aplicación del Derecho comunitario, que depende en gran parte de la forma en que lo aplican los profesionales de la justicia y, en particular, los magistrados;</w:t>
      </w:r>
    </w:p>
    <w:p w:rsidR="00EA3968" w:rsidRPr="00EA3968" w:rsidRDefault="00EA3968" w:rsidP="00EC521E">
      <w:pPr>
        <w:numPr>
          <w:ilvl w:val="0"/>
          <w:numId w:val="2"/>
        </w:numPr>
        <w:spacing w:after="0" w:line="360" w:lineRule="atLeast"/>
        <w:ind w:left="1658"/>
        <w:jc w:val="both"/>
        <w:rPr>
          <w:rFonts w:ascii="Verdana" w:eastAsia="Times New Roman" w:hAnsi="Verdana" w:cs="Times New Roman"/>
          <w:color w:val="333333"/>
          <w:sz w:val="19"/>
          <w:szCs w:val="19"/>
          <w:lang w:eastAsia="es-ES"/>
        </w:rPr>
      </w:pPr>
      <w:r w:rsidRPr="00EA3968">
        <w:rPr>
          <w:rFonts w:ascii="Verdana" w:eastAsia="Times New Roman" w:hAnsi="Verdana" w:cs="Times New Roman"/>
          <w:color w:val="333333"/>
          <w:sz w:val="19"/>
          <w:szCs w:val="19"/>
          <w:lang w:eastAsia="es-ES"/>
        </w:rPr>
        <w:t>el desarrollo del principio de reconocimiento mutuo, que se basa esencialmente en un alto nivel de confianza recíproca y la cooperación entre las autoridades judiciales.</w:t>
      </w:r>
    </w:p>
    <w:p w:rsidR="00EA3968" w:rsidRPr="00EA3968" w:rsidRDefault="00EA3968" w:rsidP="00EC521E">
      <w:pPr>
        <w:spacing w:before="100" w:beforeAutospacing="1" w:after="100" w:afterAutospacing="1" w:line="360" w:lineRule="atLeast"/>
        <w:jc w:val="both"/>
        <w:rPr>
          <w:rFonts w:ascii="Verdana" w:eastAsia="Times New Roman" w:hAnsi="Verdana" w:cs="Times New Roman"/>
          <w:color w:val="333333"/>
          <w:sz w:val="19"/>
          <w:szCs w:val="19"/>
          <w:lang w:eastAsia="es-ES"/>
        </w:rPr>
      </w:pPr>
      <w:r w:rsidRPr="00EA3968">
        <w:rPr>
          <w:rFonts w:ascii="Verdana" w:eastAsia="Times New Roman" w:hAnsi="Verdana" w:cs="Times New Roman"/>
          <w:color w:val="333333"/>
          <w:sz w:val="19"/>
          <w:szCs w:val="19"/>
          <w:lang w:eastAsia="es-ES"/>
        </w:rPr>
        <w:t>Por otra parte, las necesidades identificadas por la Comisión en materia de formación judicial son las siguientes:</w:t>
      </w:r>
    </w:p>
    <w:p w:rsidR="00EA3968" w:rsidRPr="00EA3968" w:rsidRDefault="00EA3968" w:rsidP="00EC521E">
      <w:pPr>
        <w:numPr>
          <w:ilvl w:val="0"/>
          <w:numId w:val="3"/>
        </w:numPr>
        <w:spacing w:after="0" w:line="360" w:lineRule="atLeast"/>
        <w:ind w:left="1658"/>
        <w:jc w:val="both"/>
        <w:rPr>
          <w:rFonts w:ascii="Verdana" w:eastAsia="Times New Roman" w:hAnsi="Verdana" w:cs="Times New Roman"/>
          <w:color w:val="333333"/>
          <w:sz w:val="19"/>
          <w:szCs w:val="19"/>
          <w:lang w:eastAsia="es-ES"/>
        </w:rPr>
      </w:pPr>
      <w:r w:rsidRPr="00EA3968">
        <w:rPr>
          <w:rFonts w:ascii="Verdana" w:eastAsia="Times New Roman" w:hAnsi="Verdana" w:cs="Times New Roman"/>
          <w:color w:val="333333"/>
          <w:sz w:val="19"/>
          <w:szCs w:val="19"/>
          <w:lang w:eastAsia="es-ES"/>
        </w:rPr>
        <w:t>mejorar el conocimiento de los instrumentos jurídicos adoptados por la Unión y la Comunidad en sectores en los que se han conferido facultades específicas a los jueces nacionales;</w:t>
      </w:r>
    </w:p>
    <w:p w:rsidR="00EA3968" w:rsidRPr="00EA3968" w:rsidRDefault="00EA3968" w:rsidP="00EC521E">
      <w:pPr>
        <w:numPr>
          <w:ilvl w:val="0"/>
          <w:numId w:val="3"/>
        </w:numPr>
        <w:spacing w:after="0" w:line="360" w:lineRule="atLeast"/>
        <w:ind w:left="1658"/>
        <w:jc w:val="both"/>
        <w:rPr>
          <w:rFonts w:ascii="Verdana" w:eastAsia="Times New Roman" w:hAnsi="Verdana" w:cs="Times New Roman"/>
          <w:color w:val="333333"/>
          <w:sz w:val="19"/>
          <w:szCs w:val="19"/>
          <w:lang w:eastAsia="es-ES"/>
        </w:rPr>
      </w:pPr>
      <w:r w:rsidRPr="00EA3968">
        <w:rPr>
          <w:rFonts w:ascii="Verdana" w:eastAsia="Times New Roman" w:hAnsi="Verdana" w:cs="Times New Roman"/>
          <w:color w:val="333333"/>
          <w:sz w:val="19"/>
          <w:szCs w:val="19"/>
          <w:lang w:eastAsia="es-ES"/>
        </w:rPr>
        <w:t>mejorar las competencias lingüísticas para que las autoridades judiciales puedan comunicarse directamente entre sí, tal como prevé la mayoría de los instrumentos;</w:t>
      </w:r>
    </w:p>
    <w:p w:rsidR="00EA3968" w:rsidRPr="00EA3968" w:rsidRDefault="00EA3968" w:rsidP="00EC521E">
      <w:pPr>
        <w:numPr>
          <w:ilvl w:val="0"/>
          <w:numId w:val="3"/>
        </w:numPr>
        <w:spacing w:after="0" w:line="360" w:lineRule="atLeast"/>
        <w:ind w:left="1658"/>
        <w:jc w:val="both"/>
        <w:rPr>
          <w:rFonts w:ascii="Verdana" w:eastAsia="Times New Roman" w:hAnsi="Verdana" w:cs="Times New Roman"/>
          <w:color w:val="333333"/>
          <w:sz w:val="19"/>
          <w:szCs w:val="19"/>
          <w:lang w:eastAsia="es-ES"/>
        </w:rPr>
      </w:pPr>
      <w:r w:rsidRPr="00EA3968">
        <w:rPr>
          <w:rFonts w:ascii="Verdana" w:eastAsia="Times New Roman" w:hAnsi="Verdana" w:cs="Times New Roman"/>
          <w:color w:val="333333"/>
          <w:sz w:val="19"/>
          <w:szCs w:val="19"/>
          <w:lang w:eastAsia="es-ES"/>
        </w:rPr>
        <w:t>desarrollar el conocimiento de los sistemas jurídicos y judiciales de los Estados miembros que permita evaluar sus necesidades respectivas en el marco de la cooperación judicial.</w:t>
      </w:r>
    </w:p>
    <w:p w:rsidR="00EA3968" w:rsidRPr="00EA3968" w:rsidRDefault="00EA3968" w:rsidP="00EC521E">
      <w:pPr>
        <w:spacing w:before="100" w:beforeAutospacing="1" w:after="100" w:afterAutospacing="1" w:line="360" w:lineRule="atLeast"/>
        <w:jc w:val="both"/>
        <w:rPr>
          <w:rFonts w:ascii="Verdana" w:eastAsia="Times New Roman" w:hAnsi="Verdana" w:cs="Times New Roman"/>
          <w:color w:val="333333"/>
          <w:sz w:val="19"/>
          <w:szCs w:val="19"/>
          <w:lang w:eastAsia="es-ES"/>
        </w:rPr>
      </w:pPr>
      <w:r w:rsidRPr="00EA3968">
        <w:rPr>
          <w:rFonts w:ascii="Verdana" w:eastAsia="Times New Roman" w:hAnsi="Verdana" w:cs="Times New Roman"/>
          <w:color w:val="333333"/>
          <w:sz w:val="19"/>
          <w:szCs w:val="19"/>
          <w:lang w:eastAsia="es-ES"/>
        </w:rPr>
        <w:t>En lo que respecta al método, la formación debe insistir en los aspectos prácticos, con el fin de:</w:t>
      </w:r>
    </w:p>
    <w:p w:rsidR="00EA3968" w:rsidRPr="00EA3968" w:rsidRDefault="00EA3968" w:rsidP="00EC521E">
      <w:pPr>
        <w:numPr>
          <w:ilvl w:val="0"/>
          <w:numId w:val="4"/>
        </w:numPr>
        <w:spacing w:after="0" w:line="360" w:lineRule="atLeast"/>
        <w:ind w:left="1658"/>
        <w:jc w:val="both"/>
        <w:rPr>
          <w:rFonts w:ascii="Verdana" w:eastAsia="Times New Roman" w:hAnsi="Verdana" w:cs="Times New Roman"/>
          <w:color w:val="333333"/>
          <w:sz w:val="19"/>
          <w:szCs w:val="19"/>
          <w:lang w:eastAsia="es-ES"/>
        </w:rPr>
      </w:pPr>
      <w:r w:rsidRPr="00EA3968">
        <w:rPr>
          <w:rFonts w:ascii="Verdana" w:eastAsia="Times New Roman" w:hAnsi="Verdana" w:cs="Times New Roman"/>
          <w:color w:val="333333"/>
          <w:sz w:val="19"/>
          <w:szCs w:val="19"/>
          <w:lang w:eastAsia="es-ES"/>
        </w:rPr>
        <w:t>desarrollar métodos que permitan una mayor divulgación de los resultados de la formación, junto a las conferencias y seminarios más clásicos;</w:t>
      </w:r>
    </w:p>
    <w:p w:rsidR="00EA3968" w:rsidRPr="00EA3968" w:rsidRDefault="00EA3968" w:rsidP="00EC521E">
      <w:pPr>
        <w:numPr>
          <w:ilvl w:val="0"/>
          <w:numId w:val="4"/>
        </w:numPr>
        <w:spacing w:after="0" w:line="360" w:lineRule="atLeast"/>
        <w:ind w:left="1658"/>
        <w:jc w:val="both"/>
        <w:rPr>
          <w:rFonts w:ascii="Verdana" w:eastAsia="Times New Roman" w:hAnsi="Verdana" w:cs="Times New Roman"/>
          <w:color w:val="333333"/>
          <w:sz w:val="19"/>
          <w:szCs w:val="19"/>
          <w:lang w:eastAsia="es-ES"/>
        </w:rPr>
      </w:pPr>
      <w:r w:rsidRPr="00EA3968">
        <w:rPr>
          <w:rFonts w:ascii="Verdana" w:eastAsia="Times New Roman" w:hAnsi="Verdana" w:cs="Times New Roman"/>
          <w:color w:val="333333"/>
          <w:sz w:val="19"/>
          <w:szCs w:val="19"/>
          <w:lang w:eastAsia="es-ES"/>
        </w:rPr>
        <w:t>utilizar medios de formación innovadores y accesibles en línea, por lo que respecta a los instrumentos de la Unión y la información sobre los sistemas judiciales nacionales;</w:t>
      </w:r>
    </w:p>
    <w:p w:rsidR="00EA3968" w:rsidRPr="00EA3968" w:rsidRDefault="00EA3968" w:rsidP="00EC521E">
      <w:pPr>
        <w:numPr>
          <w:ilvl w:val="0"/>
          <w:numId w:val="4"/>
        </w:numPr>
        <w:spacing w:after="0" w:line="360" w:lineRule="atLeast"/>
        <w:ind w:left="1658"/>
        <w:jc w:val="both"/>
        <w:rPr>
          <w:rFonts w:ascii="Verdana" w:eastAsia="Times New Roman" w:hAnsi="Verdana" w:cs="Times New Roman"/>
          <w:color w:val="333333"/>
          <w:sz w:val="19"/>
          <w:szCs w:val="19"/>
          <w:lang w:eastAsia="es-ES"/>
        </w:rPr>
      </w:pPr>
      <w:r w:rsidRPr="00EA3968">
        <w:rPr>
          <w:rFonts w:ascii="Verdana" w:eastAsia="Times New Roman" w:hAnsi="Verdana" w:cs="Times New Roman"/>
          <w:color w:val="333333"/>
          <w:sz w:val="19"/>
          <w:szCs w:val="19"/>
          <w:lang w:eastAsia="es-ES"/>
        </w:rPr>
        <w:t xml:space="preserve">favorecer una estrecha cooperación entre los organismos de formación nacional, los organismos de formación con vocación europea -la REFJ, por una parte, y </w:t>
      </w:r>
      <w:proofErr w:type="spellStart"/>
      <w:r w:rsidRPr="00EA3968">
        <w:rPr>
          <w:rFonts w:ascii="Verdana" w:eastAsia="Times New Roman" w:hAnsi="Verdana" w:cs="Times New Roman"/>
          <w:color w:val="333333"/>
          <w:sz w:val="19"/>
          <w:szCs w:val="19"/>
          <w:lang w:eastAsia="es-ES"/>
        </w:rPr>
        <w:t>Eurojust</w:t>
      </w:r>
      <w:proofErr w:type="spellEnd"/>
      <w:r w:rsidRPr="00EA3968">
        <w:rPr>
          <w:rFonts w:ascii="Verdana" w:eastAsia="Times New Roman" w:hAnsi="Verdana" w:cs="Times New Roman"/>
          <w:color w:val="333333"/>
          <w:sz w:val="19"/>
          <w:szCs w:val="19"/>
          <w:lang w:eastAsia="es-ES"/>
        </w:rPr>
        <w:t>, la red judicial civil y la red judicial penal, por otra-. Una mayor cooperación dentro del respeto de las tradiciones nacionales permitirá confrontar diversos puntos de vista e intercambiar experiencias.</w:t>
      </w:r>
    </w:p>
    <w:p w:rsidR="00EA3968" w:rsidRPr="00EA3968" w:rsidRDefault="00EA3968" w:rsidP="00EC521E">
      <w:pPr>
        <w:spacing w:before="100" w:beforeAutospacing="1" w:after="100" w:afterAutospacing="1" w:line="360" w:lineRule="atLeast"/>
        <w:jc w:val="both"/>
        <w:rPr>
          <w:rFonts w:ascii="Verdana" w:eastAsia="Times New Roman" w:hAnsi="Verdana" w:cs="Times New Roman"/>
          <w:color w:val="333333"/>
          <w:sz w:val="19"/>
          <w:szCs w:val="19"/>
          <w:lang w:eastAsia="es-ES"/>
        </w:rPr>
      </w:pPr>
      <w:r w:rsidRPr="00EA3968">
        <w:rPr>
          <w:rFonts w:ascii="Verdana" w:eastAsia="Times New Roman" w:hAnsi="Verdana" w:cs="Times New Roman"/>
          <w:b/>
          <w:bCs/>
          <w:color w:val="333333"/>
          <w:sz w:val="19"/>
          <w:lang w:eastAsia="es-ES"/>
        </w:rPr>
        <w:t>Estrategia europea para la formación judicial</w:t>
      </w:r>
      <w:r w:rsidRPr="00EA3968">
        <w:rPr>
          <w:rFonts w:ascii="Verdana" w:eastAsia="Times New Roman" w:hAnsi="Verdana" w:cs="Times New Roman"/>
          <w:color w:val="333333"/>
          <w:sz w:val="19"/>
          <w:szCs w:val="19"/>
          <w:lang w:eastAsia="es-ES"/>
        </w:rPr>
        <w:t xml:space="preserve"> </w:t>
      </w:r>
    </w:p>
    <w:p w:rsidR="00EA3968" w:rsidRPr="00EA3968" w:rsidRDefault="00EA3968" w:rsidP="00EC521E">
      <w:pPr>
        <w:spacing w:before="100" w:beforeAutospacing="1" w:after="100" w:afterAutospacing="1" w:line="360" w:lineRule="atLeast"/>
        <w:jc w:val="both"/>
        <w:rPr>
          <w:rFonts w:ascii="Verdana" w:eastAsia="Times New Roman" w:hAnsi="Verdana" w:cs="Times New Roman"/>
          <w:color w:val="333333"/>
          <w:sz w:val="19"/>
          <w:szCs w:val="19"/>
          <w:lang w:eastAsia="es-ES"/>
        </w:rPr>
      </w:pPr>
      <w:r w:rsidRPr="00EA3968">
        <w:rPr>
          <w:rFonts w:ascii="Verdana" w:eastAsia="Times New Roman" w:hAnsi="Verdana" w:cs="Times New Roman"/>
          <w:color w:val="333333"/>
          <w:sz w:val="19"/>
          <w:szCs w:val="19"/>
          <w:lang w:eastAsia="es-ES"/>
        </w:rPr>
        <w:t xml:space="preserve">El </w:t>
      </w:r>
      <w:hyperlink r:id="rId13" w:history="1">
        <w:r w:rsidRPr="00EA3968">
          <w:rPr>
            <w:rFonts w:ascii="Verdana" w:eastAsia="Times New Roman" w:hAnsi="Verdana" w:cs="Times New Roman"/>
            <w:color w:val="003399"/>
            <w:sz w:val="19"/>
            <w:u w:val="single"/>
            <w:lang w:eastAsia="es-ES"/>
          </w:rPr>
          <w:t>Programa de La Haya</w:t>
        </w:r>
      </w:hyperlink>
      <w:r w:rsidRPr="00EA3968">
        <w:rPr>
          <w:rFonts w:ascii="Verdana" w:eastAsia="Times New Roman" w:hAnsi="Verdana" w:cs="Times New Roman"/>
          <w:color w:val="333333"/>
          <w:sz w:val="19"/>
          <w:szCs w:val="19"/>
          <w:lang w:eastAsia="es-ES"/>
        </w:rPr>
        <w:t xml:space="preserve"> insiste en la importancia de integrar un componente europeo en los programas nacionales de formación, en particular en el ámbito de la formación inicial. Los futuros profesionales tendrán así un sentimiento de pertenencia a un mismo espacio de Derecho y valores. Por su parte, la formación continua debe familiarizar a los profesionales con experiencia con los instrumentos jurídicos adoptados en la Unión Europea.</w:t>
      </w:r>
    </w:p>
    <w:p w:rsidR="00EA3968" w:rsidRPr="00EA3968" w:rsidRDefault="00EA3968" w:rsidP="00EC521E">
      <w:pPr>
        <w:spacing w:before="100" w:beforeAutospacing="1" w:after="100" w:afterAutospacing="1" w:line="360" w:lineRule="atLeast"/>
        <w:jc w:val="both"/>
        <w:rPr>
          <w:rFonts w:ascii="Verdana" w:eastAsia="Times New Roman" w:hAnsi="Verdana" w:cs="Times New Roman"/>
          <w:color w:val="333333"/>
          <w:sz w:val="19"/>
          <w:szCs w:val="19"/>
          <w:lang w:eastAsia="es-ES"/>
        </w:rPr>
      </w:pPr>
      <w:r w:rsidRPr="00EA3968">
        <w:rPr>
          <w:rFonts w:ascii="Verdana" w:eastAsia="Times New Roman" w:hAnsi="Verdana" w:cs="Times New Roman"/>
          <w:color w:val="333333"/>
          <w:sz w:val="19"/>
          <w:szCs w:val="19"/>
          <w:lang w:eastAsia="es-ES"/>
        </w:rPr>
        <w:t>La Comisión, dentro del programa marco 2007-2013 «Derechos fundamentales y justicia», desea en primer lugar prestar ayuda financiera a la formación de las profesiones judiciales en materia de Derecho de la Unión y Derecho comunitario. Además, con el fin de determinar mejor las necesidades esenciales, los principales actores de la formación judicial de los Estados miembros y de nivel europeo serán consultados regularmente, a fin de elaborar una estrategia europea plurianual de formación.</w:t>
      </w:r>
    </w:p>
    <w:p w:rsidR="00EA3968" w:rsidRPr="00EA3968" w:rsidRDefault="00EA3968" w:rsidP="00EC521E">
      <w:pPr>
        <w:spacing w:before="100" w:beforeAutospacing="1" w:after="100" w:afterAutospacing="1" w:line="360" w:lineRule="atLeast"/>
        <w:jc w:val="both"/>
        <w:rPr>
          <w:rFonts w:ascii="Verdana" w:eastAsia="Times New Roman" w:hAnsi="Verdana" w:cs="Times New Roman"/>
          <w:color w:val="333333"/>
          <w:sz w:val="19"/>
          <w:szCs w:val="19"/>
          <w:lang w:eastAsia="es-ES"/>
        </w:rPr>
      </w:pPr>
      <w:r w:rsidRPr="00EA3968">
        <w:rPr>
          <w:rFonts w:ascii="Verdana" w:eastAsia="Times New Roman" w:hAnsi="Verdana" w:cs="Times New Roman"/>
          <w:color w:val="333333"/>
          <w:sz w:val="19"/>
          <w:szCs w:val="19"/>
          <w:lang w:eastAsia="es-ES"/>
        </w:rPr>
        <w:t>La REFJ debe ser reforzada para mejorar la coordinación entre las entidades nacionales y desarrollar unas relaciones más fuertes y estables entre ellas. La creación de una subvención anual de funcionamiento en su favor es un elemento importante cuyo desembolso efectivo está supeditado, obviamente, a las condiciones previstas en la normativa financiera. La REFJ también debería intervenir en la concepción de programas plenamente europeos en relación con otros organismos competentes. Agrupa a las instituciones responsables de la formación de jueces -los fiscales sólo se incluyen en la medida en que pertenezcan al cuerpo judicial-. Además, la Comisión adoptó en 2006 la decisión de financiación con el fin de aplicar el programa de intercambio entre las autoridades judiciales. Con arreglo a este instrumento, la Comisión estableció que la REFJ debe tener el monopolio en los intercambios entre jueces y fiscales en el conjunto de Europa. Deberá examinarse la cuestión de la participación de los jueces especializados, al igual que tendrá que tenerse en cuenta la formación de los abogados.</w:t>
      </w:r>
    </w:p>
    <w:p w:rsidR="00EA3968" w:rsidRPr="00EA3968" w:rsidRDefault="00EA3968" w:rsidP="00EC521E">
      <w:pPr>
        <w:spacing w:before="100" w:beforeAutospacing="1" w:after="100" w:afterAutospacing="1" w:line="360" w:lineRule="atLeast"/>
        <w:jc w:val="both"/>
        <w:rPr>
          <w:rFonts w:ascii="Verdana" w:eastAsia="Times New Roman" w:hAnsi="Verdana" w:cs="Times New Roman"/>
          <w:color w:val="333333"/>
          <w:sz w:val="19"/>
          <w:szCs w:val="19"/>
          <w:lang w:eastAsia="es-ES"/>
        </w:rPr>
      </w:pPr>
      <w:r w:rsidRPr="00EA3968">
        <w:rPr>
          <w:rFonts w:ascii="Verdana" w:eastAsia="Times New Roman" w:hAnsi="Verdana" w:cs="Times New Roman"/>
          <w:color w:val="333333"/>
          <w:sz w:val="19"/>
          <w:szCs w:val="19"/>
          <w:lang w:eastAsia="es-ES"/>
        </w:rPr>
        <w:t>Desde el punto de vista financiero, habrá que llegar a una simplificación que permita seleccionar mejor las ayudas financieras europeas para proyectos que puedan llegar a unos destinatarios privilegiados; podrían adoptarse convenios marco que regularan las relaciones con las instituciones competentes; asimismo, podría recurrirse a las licitaciones en el caso de los proyectos de mayor alcance.</w:t>
      </w:r>
    </w:p>
    <w:p w:rsidR="00EA3968" w:rsidRPr="00EA3968" w:rsidRDefault="00EA3968" w:rsidP="00EC521E">
      <w:pPr>
        <w:spacing w:before="100" w:beforeAutospacing="1" w:after="100" w:afterAutospacing="1" w:line="360" w:lineRule="atLeast"/>
        <w:jc w:val="both"/>
        <w:rPr>
          <w:rFonts w:ascii="Verdana" w:eastAsia="Times New Roman" w:hAnsi="Verdana" w:cs="Times New Roman"/>
          <w:color w:val="333333"/>
          <w:sz w:val="19"/>
          <w:szCs w:val="19"/>
          <w:lang w:eastAsia="es-ES"/>
        </w:rPr>
      </w:pPr>
      <w:r w:rsidRPr="00EA3968">
        <w:rPr>
          <w:rFonts w:ascii="Verdana" w:eastAsia="Times New Roman" w:hAnsi="Verdana" w:cs="Times New Roman"/>
          <w:color w:val="333333"/>
          <w:sz w:val="19"/>
          <w:szCs w:val="19"/>
          <w:lang w:eastAsia="es-ES"/>
        </w:rPr>
        <w:t>Por último, la formación judicial debe integrarse en un marco internacional más amplio y dar lugar a una cooperación más allá de las fronteras de la Unión, a fin de favorecer la cooperación judicial con los terceros países y la consolidación del Estado de Derecho en el mundo.</w:t>
      </w:r>
    </w:p>
    <w:p w:rsidR="00EA3968" w:rsidRPr="00EA3968" w:rsidRDefault="00EA3968" w:rsidP="00EC521E">
      <w:pPr>
        <w:spacing w:before="100" w:beforeAutospacing="1" w:after="100" w:afterAutospacing="1" w:line="360" w:lineRule="atLeast"/>
        <w:jc w:val="both"/>
        <w:rPr>
          <w:rFonts w:ascii="Verdana" w:eastAsia="Times New Roman" w:hAnsi="Verdana" w:cs="Times New Roman"/>
          <w:color w:val="333333"/>
          <w:sz w:val="19"/>
          <w:szCs w:val="19"/>
          <w:lang w:eastAsia="es-ES"/>
        </w:rPr>
      </w:pPr>
      <w:r w:rsidRPr="00EA3968">
        <w:rPr>
          <w:rFonts w:ascii="Verdana" w:eastAsia="Times New Roman" w:hAnsi="Verdana" w:cs="Times New Roman"/>
          <w:b/>
          <w:bCs/>
          <w:color w:val="333333"/>
          <w:sz w:val="19"/>
          <w:lang w:eastAsia="es-ES"/>
        </w:rPr>
        <w:t>Contexto</w:t>
      </w:r>
      <w:r w:rsidRPr="00EA3968">
        <w:rPr>
          <w:rFonts w:ascii="Verdana" w:eastAsia="Times New Roman" w:hAnsi="Verdana" w:cs="Times New Roman"/>
          <w:color w:val="333333"/>
          <w:sz w:val="19"/>
          <w:szCs w:val="19"/>
          <w:lang w:eastAsia="es-ES"/>
        </w:rPr>
        <w:t xml:space="preserve"> </w:t>
      </w:r>
    </w:p>
    <w:p w:rsidR="00EA3968" w:rsidRPr="00EA3968" w:rsidRDefault="00EA3968" w:rsidP="00EC521E">
      <w:pPr>
        <w:spacing w:before="100" w:beforeAutospacing="1" w:after="100" w:afterAutospacing="1" w:line="360" w:lineRule="atLeast"/>
        <w:jc w:val="both"/>
        <w:rPr>
          <w:rFonts w:ascii="Verdana" w:eastAsia="Times New Roman" w:hAnsi="Verdana" w:cs="Times New Roman"/>
          <w:color w:val="333333"/>
          <w:sz w:val="19"/>
          <w:szCs w:val="19"/>
          <w:lang w:eastAsia="es-ES"/>
        </w:rPr>
      </w:pPr>
      <w:r w:rsidRPr="00EA3968">
        <w:rPr>
          <w:rFonts w:ascii="Verdana" w:eastAsia="Times New Roman" w:hAnsi="Verdana" w:cs="Times New Roman"/>
          <w:color w:val="333333"/>
          <w:sz w:val="19"/>
          <w:szCs w:val="19"/>
          <w:lang w:eastAsia="es-ES"/>
        </w:rPr>
        <w:t xml:space="preserve">En diciembre de 2001, el Consejo Europeo de </w:t>
      </w:r>
      <w:proofErr w:type="spellStart"/>
      <w:r w:rsidRPr="00EA3968">
        <w:rPr>
          <w:rFonts w:ascii="Verdana" w:eastAsia="Times New Roman" w:hAnsi="Verdana" w:cs="Times New Roman"/>
          <w:color w:val="333333"/>
          <w:sz w:val="19"/>
          <w:szCs w:val="19"/>
          <w:lang w:eastAsia="es-ES"/>
        </w:rPr>
        <w:t>Laeken</w:t>
      </w:r>
      <w:proofErr w:type="spellEnd"/>
      <w:r w:rsidRPr="00EA3968">
        <w:rPr>
          <w:rFonts w:ascii="Verdana" w:eastAsia="Times New Roman" w:hAnsi="Verdana" w:cs="Times New Roman"/>
          <w:color w:val="333333"/>
          <w:sz w:val="19"/>
          <w:szCs w:val="19"/>
          <w:lang w:eastAsia="es-ES"/>
        </w:rPr>
        <w:t xml:space="preserve"> hizo un llamamiento para que se establezca sin demora una red europea destinada a fomentar la formación de los magistrados, que contribuirá a aumentar la confianza entre quienes intervienen en la cooperación judicial. Asimismo, el Programa de La Haya adoptado en noviembre de 2004 insiste en la necesidad de aumentar la confianza mutua, mejorando la comprensión mutua entre las autoridades judiciales y los distintos ordenamientos jurídicos. Estas decisiones tienen por objetivo construir una verdadera cultura judicial europea común.</w:t>
      </w:r>
    </w:p>
    <w:p w:rsidR="00E57FAA" w:rsidRDefault="00E57FAA" w:rsidP="00EC521E">
      <w:pPr>
        <w:jc w:val="both"/>
      </w:pPr>
    </w:p>
    <w:sectPr w:rsidR="00E57FAA" w:rsidSect="00E57FA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868D8"/>
    <w:multiLevelType w:val="multilevel"/>
    <w:tmpl w:val="E796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3B3617"/>
    <w:multiLevelType w:val="multilevel"/>
    <w:tmpl w:val="8470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894ACF"/>
    <w:multiLevelType w:val="multilevel"/>
    <w:tmpl w:val="4A0C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8D30B6"/>
    <w:multiLevelType w:val="multilevel"/>
    <w:tmpl w:val="E03E2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EA3968"/>
    <w:rsid w:val="00706C47"/>
    <w:rsid w:val="00B177AA"/>
    <w:rsid w:val="00BB59B3"/>
    <w:rsid w:val="00E57FAA"/>
    <w:rsid w:val="00EA3968"/>
    <w:rsid w:val="00EC521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FA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A3968"/>
    <w:rPr>
      <w:color w:val="003399"/>
      <w:u w:val="single"/>
    </w:rPr>
  </w:style>
  <w:style w:type="character" w:styleId="Textoennegrita">
    <w:name w:val="Strong"/>
    <w:basedOn w:val="Fuentedeprrafopredeter"/>
    <w:uiPriority w:val="22"/>
    <w:qFormat/>
    <w:rsid w:val="00EA3968"/>
    <w:rPr>
      <w:b/>
      <w:bCs/>
    </w:rPr>
  </w:style>
</w:styles>
</file>

<file path=word/webSettings.xml><?xml version="1.0" encoding="utf-8"?>
<w:webSettings xmlns:r="http://schemas.openxmlformats.org/officeDocument/2006/relationships" xmlns:w="http://schemas.openxmlformats.org/wordprocessingml/2006/main">
  <w:divs>
    <w:div w:id="556164340">
      <w:bodyDiv w:val="1"/>
      <w:marLeft w:val="0"/>
      <w:marRight w:val="0"/>
      <w:marTop w:val="0"/>
      <w:marBottom w:val="0"/>
      <w:divBdr>
        <w:top w:val="none" w:sz="0" w:space="0" w:color="auto"/>
        <w:left w:val="none" w:sz="0" w:space="0" w:color="auto"/>
        <w:bottom w:val="none" w:sz="0" w:space="0" w:color="auto"/>
        <w:right w:val="none" w:sz="0" w:space="0" w:color="auto"/>
      </w:divBdr>
      <w:divsChild>
        <w:div w:id="2067944698">
          <w:marLeft w:val="0"/>
          <w:marRight w:val="0"/>
          <w:marTop w:val="0"/>
          <w:marBottom w:val="0"/>
          <w:divBdr>
            <w:top w:val="none" w:sz="0" w:space="0" w:color="auto"/>
            <w:left w:val="none" w:sz="0" w:space="0" w:color="auto"/>
            <w:bottom w:val="none" w:sz="0" w:space="0" w:color="auto"/>
            <w:right w:val="none" w:sz="0" w:space="0" w:color="auto"/>
          </w:divBdr>
          <w:divsChild>
            <w:div w:id="89591622">
              <w:marLeft w:val="1613"/>
              <w:marRight w:val="0"/>
              <w:marTop w:val="0"/>
              <w:marBottom w:val="0"/>
              <w:divBdr>
                <w:top w:val="none" w:sz="0" w:space="0" w:color="auto"/>
                <w:left w:val="none" w:sz="0" w:space="0" w:color="auto"/>
                <w:bottom w:val="none" w:sz="0" w:space="0" w:color="auto"/>
                <w:right w:val="none" w:sz="0" w:space="0" w:color="auto"/>
              </w:divBdr>
              <w:divsChild>
                <w:div w:id="175770261">
                  <w:marLeft w:val="45"/>
                  <w:marRight w:val="0"/>
                  <w:marTop w:val="0"/>
                  <w:marBottom w:val="0"/>
                  <w:divBdr>
                    <w:top w:val="single" w:sz="2" w:space="0" w:color="EEEEEE"/>
                    <w:left w:val="none" w:sz="0" w:space="0" w:color="auto"/>
                    <w:bottom w:val="none" w:sz="0" w:space="0" w:color="auto"/>
                    <w:right w:val="none" w:sz="0" w:space="0" w:color="auto"/>
                  </w:divBdr>
                  <w:divsChild>
                    <w:div w:id="1567380796">
                      <w:marLeft w:val="0"/>
                      <w:marRight w:val="0"/>
                      <w:marTop w:val="0"/>
                      <w:marBottom w:val="0"/>
                      <w:divBdr>
                        <w:top w:val="none" w:sz="0" w:space="0" w:color="auto"/>
                        <w:left w:val="none" w:sz="0" w:space="0" w:color="auto"/>
                        <w:bottom w:val="none" w:sz="0" w:space="0" w:color="auto"/>
                        <w:right w:val="none" w:sz="0" w:space="0" w:color="auto"/>
                      </w:divBdr>
                      <w:divsChild>
                        <w:div w:id="1169833818">
                          <w:marLeft w:val="0"/>
                          <w:marRight w:val="0"/>
                          <w:marTop w:val="0"/>
                          <w:marBottom w:val="0"/>
                          <w:divBdr>
                            <w:top w:val="none" w:sz="0" w:space="0" w:color="auto"/>
                            <w:left w:val="none" w:sz="0" w:space="0" w:color="auto"/>
                            <w:bottom w:val="single" w:sz="2" w:space="6" w:color="E4E4E4"/>
                            <w:right w:val="none" w:sz="0" w:space="0" w:color="auto"/>
                          </w:divBdr>
                        </w:div>
                        <w:div w:id="121119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pa.eu/legislation_summaries/justice_freedom_security/judicial_cooperation_in_civil_matters/l33129_es.htm" TargetMode="External"/><Relationship Id="rId13" Type="http://schemas.openxmlformats.org/officeDocument/2006/relationships/hyperlink" Target="http://europa.eu/legislation_summaries/justice_freedom_security/judicial_cooperation_in_criminal_matters/l16002_es.htm" TargetMode="External"/><Relationship Id="rId3" Type="http://schemas.openxmlformats.org/officeDocument/2006/relationships/settings" Target="settings.xml"/><Relationship Id="rId7" Type="http://schemas.openxmlformats.org/officeDocument/2006/relationships/hyperlink" Target="http://europa.eu/legislation_summaries/justice_freedom_security/judicial_cooperation_in_criminal_matters/l14014b_es.htm" TargetMode="External"/><Relationship Id="rId12" Type="http://schemas.openxmlformats.org/officeDocument/2006/relationships/hyperlink" Target="http://europa.eu/legislation_summaries/justice_freedom_security/judicial_cooperation_in_criminal_matters/l10110_e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uropa.eu/legislation_summaries/justice_freedom_security/judicial_cooperation_in_criminal_matters/l33135_es.htm" TargetMode="External"/><Relationship Id="rId11" Type="http://schemas.openxmlformats.org/officeDocument/2006/relationships/hyperlink" Target="http://europa.eu/legislation_summaries/justice_freedom_security/judicial_cooperation_in_criminal_matters/4301" TargetMode="External"/><Relationship Id="rId5" Type="http://schemas.openxmlformats.org/officeDocument/2006/relationships/hyperlink" Target="http://eur-lex.europa.eu/smartapi/cgi/sga_doc?smartapi!celexplus!prod!DocNumber&amp;lg=es&amp;type_doc=COMfinal&amp;an_doc=2006&amp;nu_doc=356" TargetMode="External"/><Relationship Id="rId15" Type="http://schemas.openxmlformats.org/officeDocument/2006/relationships/theme" Target="theme/theme1.xml"/><Relationship Id="rId10" Type="http://schemas.openxmlformats.org/officeDocument/2006/relationships/hyperlink" Target="http://europa.eu/legislation_summaries/justice_freedom_security/judicial_cooperation_in_criminal_matters/jl0012_es.htm" TargetMode="External"/><Relationship Id="rId4" Type="http://schemas.openxmlformats.org/officeDocument/2006/relationships/webSettings" Target="webSettings.xml"/><Relationship Id="rId9" Type="http://schemas.openxmlformats.org/officeDocument/2006/relationships/hyperlink" Target="http://europa.eu/legislation_summaries/justice_freedom_security/judicial_cooperation_in_criminal_matters/l33188_es.ht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1647</Words>
  <Characters>9062</Characters>
  <Application>Microsoft Office Word</Application>
  <DocSecurity>0</DocSecurity>
  <Lines>75</Lines>
  <Paragraphs>21</Paragraphs>
  <ScaleCrop>false</ScaleCrop>
  <Company/>
  <LinksUpToDate>false</LinksUpToDate>
  <CharactersWithSpaces>10688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itomas</dc:creator>
  <cp:lastModifiedBy>jortuno</cp:lastModifiedBy>
  <cp:revision>2</cp:revision>
  <dcterms:created xsi:type="dcterms:W3CDTF">2011-06-15T09:25:00Z</dcterms:created>
  <dcterms:modified xsi:type="dcterms:W3CDTF">2011-06-15T09:25:00Z</dcterms:modified>
</cp:coreProperties>
</file>